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7E72" w14:textId="6CDE061A" w:rsidR="00880185" w:rsidRDefault="00880185">
      <w:pPr>
        <w:spacing w:before="0"/>
        <w:rPr>
          <w:sz w:val="8"/>
        </w:rPr>
      </w:pPr>
    </w:p>
    <w:tbl>
      <w:tblPr>
        <w:tblW w:w="1541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1"/>
        <w:gridCol w:w="71"/>
        <w:gridCol w:w="7298"/>
        <w:gridCol w:w="1490"/>
        <w:gridCol w:w="5138"/>
      </w:tblGrid>
      <w:tr w:rsidR="00880185" w:rsidRPr="00567E2C" w14:paraId="5D4D3845" w14:textId="77777777" w:rsidTr="00230C52">
        <w:trPr>
          <w:gridAfter w:val="1"/>
          <w:wAfter w:w="5138" w:type="dxa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EA811" w14:textId="06C9E75B" w:rsidR="00880185" w:rsidRPr="00567E2C" w:rsidRDefault="00880185">
            <w:pPr>
              <w:pStyle w:val="berschrift5"/>
              <w:rPr>
                <w:rFonts w:asciiTheme="minorHAnsi" w:hAnsiTheme="minorHAnsi"/>
              </w:rPr>
            </w:pPr>
            <w:r w:rsidRPr="00567E2C">
              <w:rPr>
                <w:rFonts w:asciiTheme="minorHAnsi" w:hAnsiTheme="minorHAnsi"/>
              </w:rPr>
              <w:t>Nummer</w:t>
            </w:r>
            <w:r w:rsidRPr="00567E2C">
              <w:rPr>
                <w:rFonts w:asciiTheme="minorHAnsi" w:hAnsiTheme="minorHAnsi"/>
              </w:rPr>
              <w:br/>
            </w:r>
            <w:r w:rsidRPr="00567E2C">
              <w:rPr>
                <w:rFonts w:asciiTheme="minorHAnsi" w:hAnsiTheme="minorHAnsi"/>
                <w:b w:val="0"/>
                <w:sz w:val="20"/>
              </w:rPr>
              <w:t>PSA-00</w:t>
            </w:r>
            <w:r w:rsidR="00AF1A9A">
              <w:rPr>
                <w:rFonts w:asciiTheme="minorHAnsi" w:hAnsiTheme="minorHAnsi"/>
                <w:b w:val="0"/>
                <w:sz w:val="20"/>
              </w:rPr>
              <w:t>4</w:t>
            </w:r>
            <w:r w:rsidR="00A1660A">
              <w:rPr>
                <w:rFonts w:asciiTheme="minorHAnsi" w:hAnsiTheme="minorHAnsi"/>
                <w:b w:val="0"/>
                <w:sz w:val="20"/>
              </w:rPr>
              <w:t>.1</w:t>
            </w:r>
          </w:p>
          <w:p w14:paraId="52D2670C" w14:textId="77777777" w:rsidR="00880185" w:rsidRPr="00567E2C" w:rsidRDefault="00880185">
            <w:pPr>
              <w:spacing w:before="10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80D26" w14:textId="2A7CFD72" w:rsidR="00880185" w:rsidRPr="00567E2C" w:rsidRDefault="00880185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67E2C">
              <w:rPr>
                <w:rFonts w:asciiTheme="minorHAnsi" w:hAnsiTheme="minorHAnsi"/>
                <w:b/>
                <w:color w:val="000000"/>
                <w:sz w:val="24"/>
              </w:rPr>
              <w:t>BETRIEBSANWEISUNG</w:t>
            </w:r>
            <w:r w:rsidRPr="00567E2C">
              <w:rPr>
                <w:rFonts w:asciiTheme="minorHAnsi" w:hAnsiTheme="minorHAnsi"/>
                <w:b/>
                <w:color w:val="000000"/>
                <w:sz w:val="24"/>
              </w:rPr>
              <w:br/>
            </w:r>
            <w:r w:rsidRPr="00567E2C">
              <w:rPr>
                <w:rFonts w:asciiTheme="minorHAnsi" w:hAnsiTheme="minorHAnsi"/>
                <w:color w:val="000000"/>
                <w:sz w:val="20"/>
              </w:rPr>
              <w:t xml:space="preserve">nach </w:t>
            </w:r>
            <w:r w:rsidR="00AF1A9A">
              <w:rPr>
                <w:rFonts w:asciiTheme="minorHAnsi" w:hAnsiTheme="minorHAnsi"/>
                <w:color w:val="000000"/>
                <w:sz w:val="20"/>
              </w:rPr>
              <w:t>D</w:t>
            </w:r>
            <w:r w:rsidRPr="00567E2C">
              <w:rPr>
                <w:rFonts w:asciiTheme="minorHAnsi" w:hAnsiTheme="minorHAnsi"/>
                <w:color w:val="000000"/>
                <w:sz w:val="20"/>
              </w:rPr>
              <w:t xml:space="preserve">GUV-R </w:t>
            </w:r>
            <w:r w:rsidR="00AF1A9A">
              <w:rPr>
                <w:rFonts w:asciiTheme="minorHAnsi" w:hAnsiTheme="minorHAnsi"/>
                <w:color w:val="000000"/>
                <w:sz w:val="20"/>
              </w:rPr>
              <w:t>112-</w:t>
            </w:r>
            <w:r w:rsidRPr="00567E2C">
              <w:rPr>
                <w:rFonts w:asciiTheme="minorHAnsi" w:hAnsiTheme="minorHAnsi"/>
                <w:color w:val="000000"/>
                <w:sz w:val="20"/>
              </w:rPr>
              <w:t xml:space="preserve">190 </w:t>
            </w:r>
          </w:p>
          <w:p w14:paraId="51AD6A2F" w14:textId="7B54DF78" w:rsidR="00880185" w:rsidRPr="00567E2C" w:rsidRDefault="00880185" w:rsidP="00460DE1">
            <w:pPr>
              <w:shd w:val="pct10" w:color="auto" w:fill="FFFFFF"/>
              <w:spacing w:before="40" w:after="40"/>
              <w:rPr>
                <w:rFonts w:asciiTheme="minorHAnsi" w:hAnsiTheme="minorHAnsi"/>
                <w:color w:val="000000"/>
              </w:rPr>
            </w:pPr>
            <w:r w:rsidRPr="00567E2C">
              <w:rPr>
                <w:rFonts w:asciiTheme="minorHAnsi" w:hAnsiTheme="minorHAnsi"/>
                <w:color w:val="000000"/>
                <w:sz w:val="20"/>
              </w:rPr>
              <w:t>Arbeitsber</w:t>
            </w:r>
            <w:r w:rsidR="00460DE1">
              <w:rPr>
                <w:rFonts w:asciiTheme="minorHAnsi" w:hAnsiTheme="minorHAnsi"/>
                <w:color w:val="000000"/>
                <w:sz w:val="20"/>
              </w:rPr>
              <w:t>e</w:t>
            </w:r>
            <w:r w:rsidRPr="00567E2C">
              <w:rPr>
                <w:rFonts w:asciiTheme="minorHAnsi" w:hAnsiTheme="minorHAnsi"/>
                <w:color w:val="000000"/>
                <w:sz w:val="20"/>
              </w:rPr>
              <w:t>ich</w:t>
            </w:r>
            <w:r w:rsidR="00460DE1">
              <w:rPr>
                <w:rFonts w:asciiTheme="minorHAnsi" w:hAnsiTheme="minorHAnsi"/>
                <w:color w:val="000000"/>
                <w:sz w:val="20"/>
              </w:rPr>
              <w:t>:</w:t>
            </w:r>
            <w:r w:rsidRPr="00567E2C">
              <w:rPr>
                <w:rFonts w:asciiTheme="minorHAnsi" w:hAnsiTheme="minorHAnsi"/>
                <w:color w:val="000000"/>
              </w:rPr>
              <w:br/>
              <w:t>Tätigkeit</w:t>
            </w:r>
            <w:r w:rsidR="00460DE1">
              <w:rPr>
                <w:rFonts w:asciiTheme="minorHAnsi" w:hAnsiTheme="minorHAnsi"/>
                <w:color w:val="000000"/>
              </w:rPr>
              <w:t xml:space="preserve">       </w:t>
            </w:r>
            <w:r w:rsidR="004E3E11">
              <w:rPr>
                <w:rFonts w:asciiTheme="minorHAnsi" w:hAnsiTheme="minorHAnsi"/>
                <w:color w:val="000000"/>
              </w:rPr>
              <w:t xml:space="preserve"> </w:t>
            </w:r>
            <w:r w:rsidR="00460DE1">
              <w:rPr>
                <w:rFonts w:asciiTheme="minorHAnsi" w:hAnsiTheme="minorHAnsi"/>
                <w:color w:val="000000"/>
              </w:rPr>
              <w:t>:</w:t>
            </w:r>
            <w:r w:rsidR="002959D4">
              <w:rPr>
                <w:rFonts w:asciiTheme="minorHAnsi" w:hAnsiTheme="minorHAnsi"/>
                <w:color w:val="000000"/>
              </w:rPr>
              <w:t xml:space="preserve"> </w:t>
            </w:r>
            <w:r w:rsidR="0072035E">
              <w:rPr>
                <w:rFonts w:asciiTheme="minorHAnsi" w:hAnsiTheme="minorHAnsi"/>
                <w:color w:val="000000"/>
              </w:rPr>
              <w:t xml:space="preserve">Infektionsschutz bei körperlich anstrengenden Arbeiten ohne  </w:t>
            </w:r>
            <w:r w:rsidR="0072035E">
              <w:rPr>
                <w:rFonts w:asciiTheme="minorHAnsi" w:hAnsiTheme="minorHAnsi"/>
                <w:color w:val="000000"/>
              </w:rPr>
              <w:br/>
              <w:t xml:space="preserve">                          Mindestabstand einhalten zu können.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F5ED3" w14:textId="77777777" w:rsidR="00880185" w:rsidRPr="00567E2C" w:rsidRDefault="00880185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</w:rPr>
            </w:pPr>
            <w:r w:rsidRPr="00567E2C">
              <w:rPr>
                <w:rFonts w:asciiTheme="minorHAnsi" w:hAnsiTheme="minorHAnsi"/>
                <w:b/>
                <w:sz w:val="20"/>
              </w:rPr>
              <w:t>Stand:</w:t>
            </w:r>
          </w:p>
          <w:p w14:paraId="22757EA6" w14:textId="716D93F5" w:rsidR="00880185" w:rsidRPr="00567E2C" w:rsidRDefault="008E603A">
            <w:pPr>
              <w:spacing w:before="40" w:after="40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20"/>
              </w:rPr>
              <w:t>21.01</w:t>
            </w:r>
            <w:r w:rsidR="00AF1A9A">
              <w:rPr>
                <w:rFonts w:asciiTheme="minorHAnsi" w:hAnsiTheme="minorHAnsi"/>
                <w:sz w:val="20"/>
              </w:rPr>
              <w:t>.202</w:t>
            </w:r>
            <w:r>
              <w:rPr>
                <w:rFonts w:asciiTheme="minorHAnsi" w:hAnsiTheme="minorHAnsi"/>
                <w:sz w:val="20"/>
              </w:rPr>
              <w:t>1</w:t>
            </w:r>
            <w:r w:rsidR="00880185" w:rsidRPr="00567E2C">
              <w:rPr>
                <w:rFonts w:asciiTheme="minorHAnsi" w:hAnsiTheme="minorHAnsi"/>
                <w:sz w:val="20"/>
              </w:rPr>
              <w:br/>
            </w:r>
            <w:r w:rsidR="00880185" w:rsidRPr="00567E2C">
              <w:rPr>
                <w:rFonts w:asciiTheme="minorHAnsi" w:hAnsiTheme="minorHAnsi"/>
                <w:sz w:val="20"/>
              </w:rPr>
              <w:br/>
            </w:r>
            <w:r w:rsidR="00880185" w:rsidRPr="00567E2C">
              <w:rPr>
                <w:rFonts w:asciiTheme="minorHAnsi" w:hAnsiTheme="minorHAnsi"/>
                <w:sz w:val="16"/>
              </w:rPr>
              <w:t>_____________</w:t>
            </w:r>
          </w:p>
          <w:p w14:paraId="10887069" w14:textId="77777777" w:rsidR="00880185" w:rsidRPr="00567E2C" w:rsidRDefault="00880185">
            <w:pPr>
              <w:spacing w:before="0"/>
              <w:jc w:val="center"/>
              <w:rPr>
                <w:rFonts w:asciiTheme="minorHAnsi" w:hAnsiTheme="minorHAnsi"/>
                <w:sz w:val="16"/>
              </w:rPr>
            </w:pPr>
            <w:r w:rsidRPr="00567E2C">
              <w:rPr>
                <w:rFonts w:asciiTheme="minorHAnsi" w:hAnsiTheme="minorHAnsi"/>
                <w:sz w:val="16"/>
              </w:rPr>
              <w:t>Freigabe</w:t>
            </w:r>
          </w:p>
        </w:tc>
      </w:tr>
      <w:tr w:rsidR="00880185" w:rsidRPr="00567E2C" w14:paraId="72D9D9BD" w14:textId="77777777" w:rsidTr="00230C52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38" w:type="dxa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76749DE2" w14:textId="77777777" w:rsidR="00880185" w:rsidRPr="00567E2C" w:rsidRDefault="00880185">
            <w:pPr>
              <w:pStyle w:val="berschrift3"/>
              <w:spacing w:before="40"/>
              <w:rPr>
                <w:rFonts w:asciiTheme="minorHAnsi" w:hAnsiTheme="minorHAnsi"/>
                <w:caps/>
              </w:rPr>
            </w:pPr>
            <w:r w:rsidRPr="00567E2C">
              <w:rPr>
                <w:rFonts w:asciiTheme="minorHAnsi" w:hAnsiTheme="minorHAnsi"/>
                <w:caps/>
              </w:rPr>
              <w:t>ART DER Schutzausrüstung</w:t>
            </w:r>
          </w:p>
        </w:tc>
      </w:tr>
      <w:tr w:rsidR="00880185" w:rsidRPr="00DE42B8" w14:paraId="0418E0FC" w14:textId="77777777" w:rsidTr="00D474EC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5138" w:type="dxa"/>
          <w:cantSplit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3246B" w14:textId="7680EDD9" w:rsidR="00880185" w:rsidRPr="00DE42B8" w:rsidRDefault="00AF1A9A" w:rsidP="00A424E9">
            <w:pPr>
              <w:spacing w:before="20" w:after="20"/>
              <w:ind w:left="-57"/>
              <w:jc w:val="center"/>
              <w:rPr>
                <w:rFonts w:asciiTheme="minorHAnsi" w:hAnsiTheme="minorHAnsi"/>
                <w:sz w:val="8"/>
              </w:rPr>
            </w:pPr>
            <w:r w:rsidRPr="00DE42B8">
              <w:rPr>
                <w:rFonts w:asciiTheme="minorHAnsi" w:hAnsiTheme="minorHAnsi"/>
                <w:b/>
                <w:sz w:val="26"/>
              </w:rPr>
              <w:t>Halbmaske FFP2</w:t>
            </w:r>
            <w:r w:rsidR="004C15F0">
              <w:rPr>
                <w:rFonts w:asciiTheme="minorHAnsi" w:hAnsiTheme="minorHAnsi"/>
                <w:b/>
                <w:sz w:val="26"/>
              </w:rPr>
              <w:t xml:space="preserve"> </w:t>
            </w:r>
            <w:r w:rsidR="00A424E9" w:rsidRPr="00DE42B8">
              <w:rPr>
                <w:rFonts w:asciiTheme="minorHAnsi" w:hAnsiTheme="minorHAnsi"/>
                <w:b/>
                <w:sz w:val="26"/>
              </w:rPr>
              <w:br/>
            </w:r>
            <w:r w:rsidR="0072035E">
              <w:rPr>
                <w:rFonts w:asciiTheme="minorHAnsi" w:hAnsiTheme="minorHAnsi"/>
              </w:rPr>
              <w:t xml:space="preserve">Typ: ohne Ausatemventil, </w:t>
            </w:r>
            <w:r w:rsidR="00880185" w:rsidRPr="00DE42B8">
              <w:rPr>
                <w:rFonts w:asciiTheme="minorHAnsi" w:hAnsiTheme="minorHAnsi"/>
              </w:rPr>
              <w:t xml:space="preserve">Hersteller: </w:t>
            </w:r>
            <w:r w:rsidR="00DE42B8" w:rsidRPr="00DE42B8">
              <w:rPr>
                <w:rFonts w:asciiTheme="minorHAnsi" w:hAnsiTheme="minorHAnsi"/>
                <w:i/>
                <w:iCs/>
              </w:rPr>
              <w:t>zu ergänzen</w:t>
            </w:r>
          </w:p>
        </w:tc>
      </w:tr>
      <w:tr w:rsidR="00880185" w:rsidRPr="00567E2C" w14:paraId="2F98AB7B" w14:textId="77777777" w:rsidTr="00D474EC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38" w:type="dxa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497BDB4B" w14:textId="77777777" w:rsidR="00880185" w:rsidRPr="00567E2C" w:rsidRDefault="00880185">
            <w:pPr>
              <w:pStyle w:val="berschrift3"/>
              <w:spacing w:before="40"/>
              <w:rPr>
                <w:rFonts w:asciiTheme="minorHAnsi" w:hAnsiTheme="minorHAnsi"/>
                <w:caps/>
              </w:rPr>
            </w:pPr>
            <w:r w:rsidRPr="00567E2C">
              <w:rPr>
                <w:rFonts w:asciiTheme="minorHAnsi" w:hAnsiTheme="minorHAnsi"/>
                <w:caps/>
              </w:rPr>
              <w:t>Einsatzgebiete</w:t>
            </w:r>
          </w:p>
        </w:tc>
      </w:tr>
      <w:tr w:rsidR="00D474EC" w:rsidRPr="00567E2C" w14:paraId="21C3533B" w14:textId="2C6584F5" w:rsidTr="00A14B27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7733D" w14:textId="4C2C3D15" w:rsidR="00D474EC" w:rsidRPr="00567E2C" w:rsidRDefault="005B49F9" w:rsidP="00D474EC">
            <w:pPr>
              <w:shd w:val="clear" w:color="auto" w:fill="FFFFFF" w:themeFill="backgroun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8302133" wp14:editId="543C40AE">
                  <wp:extent cx="676275" cy="6762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ichten_Atemschutz_tragen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238A1" w14:textId="3D5B16E7" w:rsidR="006D048A" w:rsidRPr="00567E2C" w:rsidRDefault="00D474EC" w:rsidP="006D048A">
            <w:pPr>
              <w:spacing w:before="20" w:after="20"/>
              <w:rPr>
                <w:rFonts w:asciiTheme="minorHAnsi" w:hAnsiTheme="minorHAnsi"/>
                <w:sz w:val="8"/>
              </w:rPr>
            </w:pPr>
            <w:r w:rsidRPr="006D048A">
              <w:rPr>
                <w:rFonts w:asciiTheme="minorHAnsi" w:hAnsiTheme="minorHAnsi"/>
                <w:szCs w:val="22"/>
              </w:rPr>
              <w:t xml:space="preserve"> </w:t>
            </w:r>
            <w:r w:rsidR="002C3E62" w:rsidRPr="006D048A">
              <w:rPr>
                <w:rFonts w:asciiTheme="minorHAnsi" w:hAnsiTheme="minorHAnsi"/>
                <w:szCs w:val="22"/>
              </w:rPr>
              <w:t>Schutz gegen feste und flüssige, gesundheitsschädliche bzw. mindergiftige Partikel, biologische</w:t>
            </w:r>
            <w:r w:rsidR="001304A9" w:rsidRPr="006D048A">
              <w:rPr>
                <w:rFonts w:asciiTheme="minorHAnsi" w:hAnsiTheme="minorHAnsi"/>
                <w:szCs w:val="22"/>
              </w:rPr>
              <w:t xml:space="preserve"> </w:t>
            </w:r>
            <w:r w:rsidR="002C3E62" w:rsidRPr="006D048A">
              <w:rPr>
                <w:rFonts w:asciiTheme="minorHAnsi" w:hAnsiTheme="minorHAnsi"/>
                <w:szCs w:val="22"/>
              </w:rPr>
              <w:t>Arbeitsstoffe und Viren.</w:t>
            </w:r>
            <w:r w:rsidR="006D048A">
              <w:rPr>
                <w:rFonts w:asciiTheme="minorHAnsi" w:hAnsiTheme="minorHAnsi"/>
                <w:szCs w:val="22"/>
              </w:rPr>
              <w:t xml:space="preserve"> </w:t>
            </w:r>
            <w:r w:rsidR="006D048A" w:rsidRPr="006D048A">
              <w:rPr>
                <w:rFonts w:asciiTheme="minorHAnsi" w:hAnsiTheme="minorHAnsi"/>
                <w:szCs w:val="22"/>
              </w:rPr>
              <w:t>Schutz vor Schadstoffen bis zu einem 10-fachen des Grenzwertes</w:t>
            </w:r>
            <w:r w:rsidR="006D048A">
              <w:rPr>
                <w:rFonts w:asciiTheme="minorHAnsi" w:hAnsiTheme="minorHAnsi"/>
                <w:szCs w:val="22"/>
              </w:rPr>
              <w:t>.</w:t>
            </w:r>
            <w:r w:rsidR="000B3225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7DA6" w14:textId="77777777" w:rsidR="00D474EC" w:rsidRPr="00567E2C" w:rsidRDefault="00D474EC">
            <w:pPr>
              <w:spacing w:before="0"/>
              <w:rPr>
                <w:rFonts w:asciiTheme="minorHAnsi" w:hAnsiTheme="minorHAnsi"/>
              </w:rPr>
            </w:pPr>
          </w:p>
        </w:tc>
      </w:tr>
      <w:tr w:rsidR="00D474EC" w:rsidRPr="00567E2C" w14:paraId="47F12B84" w14:textId="77777777" w:rsidTr="00D474EC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38" w:type="dxa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5D5CB0A2" w14:textId="77777777" w:rsidR="00D474EC" w:rsidRPr="00567E2C" w:rsidRDefault="00D474EC">
            <w:pPr>
              <w:spacing w:before="40" w:after="40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567E2C">
              <w:rPr>
                <w:rFonts w:asciiTheme="minorHAnsi" w:hAnsiTheme="minorHAnsi"/>
                <w:b/>
                <w:color w:val="FFFFFF"/>
                <w:sz w:val="24"/>
                <w:shd w:val="clear" w:color="auto" w:fill="008000"/>
              </w:rPr>
              <w:t>SACHGERECHTE VERWENDUNG</w:t>
            </w:r>
          </w:p>
        </w:tc>
      </w:tr>
      <w:tr w:rsidR="00D474EC" w:rsidRPr="00567E2C" w14:paraId="66E730D3" w14:textId="77777777" w:rsidTr="00D474EC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5138" w:type="dxa"/>
          <w:cantSplit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F561" w14:textId="149CA53D" w:rsidR="00B62DC5" w:rsidRPr="0028782A" w:rsidRDefault="000B3225" w:rsidP="00B62DC5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Unterweisung: </w:t>
            </w:r>
            <w:r w:rsidRPr="000B3225">
              <w:rPr>
                <w:rFonts w:ascii="Calibri" w:hAnsi="Calibri" w:cs="Calibri"/>
                <w:sz w:val="22"/>
                <w:szCs w:val="22"/>
              </w:rPr>
              <w:t>Beschäftigte sind im An- und Ablegen der Atemschutzmaske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</w:t>
            </w:r>
            <w:r w:rsidRPr="000B3225">
              <w:rPr>
                <w:rFonts w:ascii="Calibri" w:hAnsi="Calibri" w:cs="Calibri"/>
                <w:sz w:val="22"/>
                <w:szCs w:val="22"/>
              </w:rPr>
              <w:t>u unterweisen, um eine Kontamination der Hände oder der Maske zu vermeiden.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877C54" w:rsidRPr="00877C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Schutzeigenschaft: </w:t>
            </w:r>
            <w:r w:rsidR="00877C54" w:rsidRPr="00877C54">
              <w:rPr>
                <w:rFonts w:ascii="Calibri" w:hAnsi="Calibri" w:cs="Calibri"/>
                <w:sz w:val="22"/>
                <w:szCs w:val="22"/>
              </w:rPr>
              <w:t xml:space="preserve">Der richtige Sitz der Maske kann einfach selbst überprüft werden (das Filtermaterial bewegt sich beim </w:t>
            </w:r>
            <w:r w:rsidR="00047C43">
              <w:rPr>
                <w:rFonts w:ascii="Calibri" w:hAnsi="Calibri" w:cs="Calibri"/>
                <w:sz w:val="22"/>
                <w:szCs w:val="22"/>
              </w:rPr>
              <w:t>E</w:t>
            </w:r>
            <w:r w:rsidR="00877C54" w:rsidRPr="00877C54">
              <w:rPr>
                <w:rFonts w:ascii="Calibri" w:hAnsi="Calibri" w:cs="Calibri"/>
                <w:sz w:val="22"/>
                <w:szCs w:val="22"/>
              </w:rPr>
              <w:t xml:space="preserve">inatmen). Keine Gewähr </w:t>
            </w:r>
            <w:r w:rsidR="00DD7CF6">
              <w:rPr>
                <w:rFonts w:ascii="Calibri" w:hAnsi="Calibri" w:cs="Calibri"/>
                <w:sz w:val="22"/>
                <w:szCs w:val="22"/>
              </w:rPr>
              <w:t>f</w:t>
            </w:r>
            <w:r w:rsidR="00877C54" w:rsidRPr="00877C54">
              <w:rPr>
                <w:rFonts w:ascii="Calibri" w:hAnsi="Calibri" w:cs="Calibri"/>
                <w:sz w:val="22"/>
                <w:szCs w:val="22"/>
              </w:rPr>
              <w:t xml:space="preserve">ür alle Gefahrstoffe bzw. Chemikalien! Keine Abscheidung von </w:t>
            </w:r>
            <w:r w:rsidR="00047C43">
              <w:rPr>
                <w:rFonts w:ascii="Calibri" w:hAnsi="Calibri" w:cs="Calibri"/>
                <w:sz w:val="22"/>
                <w:szCs w:val="22"/>
              </w:rPr>
              <w:br/>
            </w:r>
            <w:r w:rsidR="00877C54" w:rsidRPr="00877C54">
              <w:rPr>
                <w:rFonts w:ascii="Calibri" w:hAnsi="Calibri" w:cs="Calibri"/>
                <w:sz w:val="22"/>
                <w:szCs w:val="22"/>
              </w:rPr>
              <w:t xml:space="preserve">Gasen! </w:t>
            </w:r>
            <w:r w:rsidR="00E31A81">
              <w:rPr>
                <w:rFonts w:ascii="Calibri" w:hAnsi="Calibri" w:cs="Calibri"/>
                <w:sz w:val="22"/>
                <w:szCs w:val="22"/>
              </w:rPr>
              <w:t xml:space="preserve">Nach dem Aufsetzen den Drahtbügel an die Nase andrücken. </w:t>
            </w:r>
            <w:r w:rsidR="00C16529">
              <w:rPr>
                <w:rFonts w:ascii="Calibri" w:hAnsi="Calibri" w:cs="Calibri"/>
                <w:sz w:val="22"/>
                <w:szCs w:val="22"/>
              </w:rPr>
              <w:br/>
            </w:r>
            <w:r w:rsidR="00877C54" w:rsidRPr="00C165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Wechselintervall: </w:t>
            </w:r>
            <w:r w:rsidR="00877C54" w:rsidRPr="00C16529">
              <w:rPr>
                <w:rFonts w:ascii="Calibri" w:hAnsi="Calibri" w:cs="Calibri"/>
                <w:sz w:val="22"/>
                <w:szCs w:val="22"/>
              </w:rPr>
              <w:t>In Abhängigkeit vo</w:t>
            </w:r>
            <w:r w:rsidR="00DD7CF6" w:rsidRPr="00C16529">
              <w:rPr>
                <w:rFonts w:ascii="Calibri" w:hAnsi="Calibri" w:cs="Calibri"/>
                <w:sz w:val="22"/>
                <w:szCs w:val="22"/>
              </w:rPr>
              <w:t>n</w:t>
            </w:r>
            <w:r w:rsidR="00877C54" w:rsidRPr="00C16529">
              <w:rPr>
                <w:rFonts w:ascii="Calibri" w:hAnsi="Calibri" w:cs="Calibri"/>
                <w:sz w:val="22"/>
                <w:szCs w:val="22"/>
              </w:rPr>
              <w:t xml:space="preserve"> Einatemwiderstand und persönlichem Wohlbefinden. Maximal</w:t>
            </w:r>
            <w:r w:rsidR="00DD7CF6" w:rsidRPr="00C16529">
              <w:rPr>
                <w:rFonts w:ascii="Calibri" w:hAnsi="Calibri" w:cs="Calibri"/>
                <w:sz w:val="22"/>
                <w:szCs w:val="22"/>
              </w:rPr>
              <w:t>e</w:t>
            </w:r>
            <w:r w:rsidR="00877C54" w:rsidRPr="00C16529">
              <w:rPr>
                <w:rFonts w:ascii="Calibri" w:hAnsi="Calibri" w:cs="Calibri"/>
                <w:sz w:val="22"/>
                <w:szCs w:val="22"/>
              </w:rPr>
              <w:t xml:space="preserve"> Tragedauer über eine Arbeitsschicht (8 h) </w:t>
            </w:r>
            <w:r w:rsidR="00BB3655" w:rsidRPr="00C16529">
              <w:rPr>
                <w:rFonts w:ascii="Calibri" w:hAnsi="Calibri" w:cs="Calibri"/>
                <w:sz w:val="22"/>
                <w:szCs w:val="22"/>
              </w:rPr>
              <w:t xml:space="preserve">in maximal </w:t>
            </w:r>
            <w:r w:rsidR="00DD7CF6" w:rsidRPr="00C165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B3655" w:rsidRPr="00C16529">
              <w:rPr>
                <w:rFonts w:ascii="Calibri" w:hAnsi="Calibri" w:cs="Calibri"/>
                <w:sz w:val="22"/>
                <w:szCs w:val="22"/>
              </w:rPr>
              <w:t>5</w:t>
            </w:r>
            <w:r w:rsidR="00DD7CF6" w:rsidRPr="00C165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B3655" w:rsidRPr="00C16529">
              <w:rPr>
                <w:rFonts w:ascii="Calibri" w:hAnsi="Calibri" w:cs="Calibri"/>
                <w:sz w:val="22"/>
                <w:szCs w:val="22"/>
              </w:rPr>
              <w:t>Intervallen á</w:t>
            </w:r>
            <w:r w:rsidR="00DD7CF6" w:rsidRPr="00C165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0500" w:rsidRPr="00C16529">
              <w:rPr>
                <w:rFonts w:ascii="Calibri" w:hAnsi="Calibri" w:cs="Calibri"/>
                <w:sz w:val="22"/>
                <w:szCs w:val="22"/>
              </w:rPr>
              <w:t>75</w:t>
            </w:r>
            <w:r w:rsidR="00DD7CF6" w:rsidRPr="00C16529">
              <w:rPr>
                <w:rFonts w:ascii="Calibri" w:hAnsi="Calibri" w:cs="Calibri"/>
                <w:sz w:val="22"/>
                <w:szCs w:val="22"/>
              </w:rPr>
              <w:t xml:space="preserve"> Minuten</w:t>
            </w:r>
            <w:r w:rsidR="004F0500" w:rsidRPr="00C16529">
              <w:rPr>
                <w:rFonts w:ascii="Calibri" w:hAnsi="Calibri" w:cs="Calibri"/>
                <w:sz w:val="22"/>
                <w:szCs w:val="22"/>
              </w:rPr>
              <w:t xml:space="preserve"> mit 30 Minuten Pause</w:t>
            </w:r>
            <w:r w:rsidR="00BB3655" w:rsidRPr="00C16529">
              <w:rPr>
                <w:rFonts w:ascii="Calibri" w:hAnsi="Calibri" w:cs="Calibri"/>
                <w:sz w:val="22"/>
                <w:szCs w:val="22"/>
              </w:rPr>
              <w:t xml:space="preserve"> dazwischen</w:t>
            </w:r>
            <w:r w:rsidR="00877C54" w:rsidRPr="00C1652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0205F9">
              <w:rPr>
                <w:rFonts w:ascii="Calibri" w:hAnsi="Calibri" w:cs="Calibri"/>
                <w:sz w:val="22"/>
                <w:szCs w:val="22"/>
              </w:rPr>
              <w:t xml:space="preserve">Arbeitsschwere, Temperatur und Luftfeuchtigkeit können die Tragezeit verringern. </w:t>
            </w:r>
            <w:r w:rsidR="000205F9">
              <w:rPr>
                <w:rFonts w:ascii="Calibri" w:hAnsi="Calibri" w:cs="Calibri"/>
                <w:sz w:val="22"/>
                <w:szCs w:val="22"/>
              </w:rPr>
              <w:br/>
            </w:r>
            <w:r w:rsidR="00877C54" w:rsidRPr="00C16529">
              <w:rPr>
                <w:rFonts w:ascii="Calibri" w:hAnsi="Calibri" w:cs="Calibri"/>
                <w:sz w:val="22"/>
                <w:szCs w:val="22"/>
              </w:rPr>
              <w:t xml:space="preserve">Bei sichtbarer Kontamination sofort wechseln! Einwegmaske - Atemschutzmaske nicht </w:t>
            </w:r>
            <w:r w:rsidR="00BB3655" w:rsidRPr="00C16529">
              <w:rPr>
                <w:rFonts w:ascii="Calibri" w:hAnsi="Calibri" w:cs="Calibri"/>
                <w:sz w:val="22"/>
                <w:szCs w:val="22"/>
              </w:rPr>
              <w:t xml:space="preserve">über eine Tagesschicht </w:t>
            </w:r>
            <w:r w:rsidR="00877C54" w:rsidRPr="00C16529">
              <w:rPr>
                <w:rFonts w:ascii="Calibri" w:hAnsi="Calibri" w:cs="Calibri"/>
                <w:sz w:val="22"/>
                <w:szCs w:val="22"/>
              </w:rPr>
              <w:t xml:space="preserve">wiederverwenden! </w:t>
            </w:r>
            <w:r w:rsidR="00C16529" w:rsidRPr="00C16529">
              <w:rPr>
                <w:rFonts w:ascii="Calibri" w:hAnsi="Calibri" w:cs="Calibri"/>
                <w:sz w:val="22"/>
                <w:szCs w:val="22"/>
              </w:rPr>
              <w:t>Die Außenseite der gebrauchten Maske ist potentiell erregerhaltig und beim erneuten Aufsetzen muss eine Kontamination des Trägers insbesondere im Gesicht (Nase, Mund, Augen) vermieden werden.</w:t>
            </w:r>
            <w:r w:rsidR="00C16529">
              <w:rPr>
                <w:rFonts w:ascii="Calibri" w:hAnsi="Calibri" w:cs="Calibri"/>
                <w:sz w:val="22"/>
                <w:szCs w:val="22"/>
              </w:rPr>
              <w:br/>
            </w:r>
            <w:r w:rsidR="00DE4431" w:rsidRPr="00877C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Vor der Verwendung: </w:t>
            </w:r>
            <w:r w:rsidR="00DE4431" w:rsidRPr="00877C54">
              <w:rPr>
                <w:rFonts w:ascii="Calibri" w:hAnsi="Calibri" w:cs="Calibri"/>
                <w:sz w:val="22"/>
                <w:szCs w:val="22"/>
              </w:rPr>
              <w:t xml:space="preserve">Auf Beschädigungen prüfen! Beschädigte Schutzmasken nicht verwenden! </w:t>
            </w:r>
            <w:r w:rsidR="00C16529">
              <w:rPr>
                <w:rFonts w:ascii="Calibri" w:hAnsi="Calibri" w:cs="Calibri"/>
                <w:sz w:val="22"/>
                <w:szCs w:val="22"/>
              </w:rPr>
              <w:br/>
            </w:r>
            <w:r w:rsidR="00DE4431" w:rsidRPr="00877C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Einschränkung: </w:t>
            </w:r>
            <w:r w:rsidR="00DE4431" w:rsidRPr="00877C54">
              <w:rPr>
                <w:rFonts w:ascii="Calibri" w:hAnsi="Calibri" w:cs="Calibri"/>
                <w:sz w:val="22"/>
                <w:szCs w:val="22"/>
              </w:rPr>
              <w:t xml:space="preserve">Bart- oder Gesichtshaare sowie Narben im Gesicht können den Dichtsitz der Maske </w:t>
            </w:r>
            <w:r w:rsidR="001E01C1">
              <w:rPr>
                <w:rFonts w:ascii="Calibri" w:hAnsi="Calibri" w:cs="Calibri"/>
                <w:sz w:val="22"/>
                <w:szCs w:val="22"/>
              </w:rPr>
              <w:br/>
            </w:r>
            <w:r w:rsidR="00DE4431" w:rsidRPr="00877C54">
              <w:rPr>
                <w:rFonts w:ascii="Calibri" w:hAnsi="Calibri" w:cs="Calibri"/>
                <w:sz w:val="22"/>
                <w:szCs w:val="22"/>
              </w:rPr>
              <w:t>beeinträchtigen und damit auch die Schutzwirkung.</w:t>
            </w:r>
          </w:p>
        </w:tc>
      </w:tr>
      <w:tr w:rsidR="00D474EC" w:rsidRPr="00567E2C" w14:paraId="612DF75D" w14:textId="77777777" w:rsidTr="00D474EC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38" w:type="dxa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4E48FD65" w14:textId="77777777" w:rsidR="00D474EC" w:rsidRPr="00567E2C" w:rsidRDefault="00D474EC">
            <w:pPr>
              <w:spacing w:before="40" w:after="40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567E2C">
              <w:rPr>
                <w:rFonts w:asciiTheme="minorHAnsi" w:hAnsiTheme="minorHAnsi"/>
                <w:b/>
                <w:color w:val="FFFFFF"/>
                <w:sz w:val="24"/>
              </w:rPr>
              <w:t>LAGERUNG – REINIGUNG – WARTUNG</w:t>
            </w:r>
          </w:p>
        </w:tc>
      </w:tr>
      <w:tr w:rsidR="00D474EC" w:rsidRPr="00567E2C" w14:paraId="4CAEA48D" w14:textId="77777777" w:rsidTr="00D474EC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5138" w:type="dxa"/>
          <w:cantSplit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47140" w14:textId="51A0C056" w:rsidR="002C3E62" w:rsidRPr="00DE4431" w:rsidRDefault="002C3E62" w:rsidP="009A13D2">
            <w:pPr>
              <w:pStyle w:val="StandardWeb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DE4431">
              <w:rPr>
                <w:rFonts w:asciiTheme="minorHAnsi" w:hAnsiTheme="minorHAnsi"/>
                <w:b/>
                <w:bCs/>
                <w:sz w:val="22"/>
                <w:szCs w:val="22"/>
              </w:rPr>
              <w:t>Lagerung:</w:t>
            </w:r>
            <w:r w:rsidRPr="00DE4431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DE4431">
              <w:rPr>
                <w:rFonts w:ascii="Calibri" w:hAnsi="Calibri" w:cs="Calibri"/>
                <w:sz w:val="22"/>
                <w:szCs w:val="22"/>
              </w:rPr>
              <w:t xml:space="preserve">unkel (vor direktem UV- und Sonnenlicht schützen), </w:t>
            </w:r>
            <w:r w:rsidR="003537DA">
              <w:rPr>
                <w:rFonts w:ascii="Calibri" w:hAnsi="Calibri" w:cs="Calibri"/>
                <w:sz w:val="22"/>
                <w:szCs w:val="22"/>
              </w:rPr>
              <w:t>k</w:t>
            </w:r>
            <w:r w:rsidRPr="00DE4431">
              <w:rPr>
                <w:rFonts w:ascii="Calibri" w:hAnsi="Calibri" w:cs="Calibri"/>
                <w:sz w:val="22"/>
                <w:szCs w:val="22"/>
              </w:rPr>
              <w:t xml:space="preserve">ühl (-20 bis +40°C), </w:t>
            </w:r>
            <w:r w:rsidR="005D3870">
              <w:rPr>
                <w:rFonts w:ascii="Calibri" w:hAnsi="Calibri" w:cs="Calibri"/>
                <w:sz w:val="22"/>
                <w:szCs w:val="22"/>
              </w:rPr>
              <w:t>t</w:t>
            </w:r>
            <w:r w:rsidRPr="00DE4431">
              <w:rPr>
                <w:rFonts w:ascii="Calibri" w:hAnsi="Calibri" w:cs="Calibri"/>
                <w:sz w:val="22"/>
                <w:szCs w:val="22"/>
              </w:rPr>
              <w:t>rocken</w:t>
            </w:r>
            <w:r w:rsidR="003537DA">
              <w:rPr>
                <w:rFonts w:ascii="Calibri" w:hAnsi="Calibri" w:cs="Calibri"/>
                <w:sz w:val="22"/>
                <w:szCs w:val="22"/>
              </w:rPr>
              <w:t>, k</w:t>
            </w:r>
            <w:r w:rsidRPr="00DE4431">
              <w:rPr>
                <w:rFonts w:ascii="Calibri" w:hAnsi="Calibri" w:cs="Calibri"/>
                <w:sz w:val="22"/>
                <w:szCs w:val="22"/>
              </w:rPr>
              <w:t xml:space="preserve">ein Kontakt mit spitzen und/oder scharfen Gegenständen. </w:t>
            </w:r>
          </w:p>
          <w:p w14:paraId="4609A1BF" w14:textId="508FB700" w:rsidR="008079A2" w:rsidRPr="00DE4431" w:rsidRDefault="008079A2" w:rsidP="009A13D2">
            <w:pPr>
              <w:pStyle w:val="StandardWeb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DE44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Haltbarkeit: </w:t>
            </w:r>
            <w:r w:rsidRPr="00DE4431">
              <w:rPr>
                <w:rFonts w:asciiTheme="minorHAnsi" w:hAnsiTheme="minorHAnsi"/>
                <w:sz w:val="22"/>
                <w:szCs w:val="22"/>
              </w:rPr>
              <w:t>drei Jahre</w:t>
            </w:r>
            <w:r w:rsidR="00DF2B33">
              <w:rPr>
                <w:rFonts w:asciiTheme="minorHAnsi" w:hAnsiTheme="minorHAnsi"/>
                <w:sz w:val="22"/>
                <w:szCs w:val="22"/>
              </w:rPr>
              <w:t xml:space="preserve"> in der Originalverpackung</w:t>
            </w:r>
            <w:r w:rsidRPr="00DE4431">
              <w:rPr>
                <w:rFonts w:asciiTheme="minorHAnsi" w:hAnsiTheme="minorHAnsi"/>
                <w:sz w:val="22"/>
                <w:szCs w:val="22"/>
              </w:rPr>
              <w:t>.</w:t>
            </w:r>
            <w:r w:rsidR="008601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6F8784" w14:textId="7A8EE7FC" w:rsidR="00D474EC" w:rsidRPr="00567E2C" w:rsidRDefault="002C3E62" w:rsidP="009A13D2">
            <w:pPr>
              <w:pStyle w:val="Standard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DE4431">
              <w:rPr>
                <w:rFonts w:asciiTheme="minorHAnsi" w:hAnsiTheme="minorHAnsi"/>
                <w:b/>
                <w:sz w:val="22"/>
                <w:szCs w:val="22"/>
              </w:rPr>
              <w:t xml:space="preserve">Einwegmaske: </w:t>
            </w:r>
            <w:r w:rsidRPr="00DE4431">
              <w:rPr>
                <w:rFonts w:asciiTheme="minorHAnsi" w:hAnsiTheme="minorHAnsi"/>
                <w:bCs/>
                <w:sz w:val="22"/>
                <w:szCs w:val="22"/>
              </w:rPr>
              <w:t>Nicht über eine Schicht hinaus zu benutzen.</w:t>
            </w:r>
          </w:p>
        </w:tc>
      </w:tr>
      <w:tr w:rsidR="00D474EC" w:rsidRPr="00567E2C" w14:paraId="00BF974B" w14:textId="77777777" w:rsidTr="00D474EC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38" w:type="dxa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62EB87A4" w14:textId="77777777" w:rsidR="00D474EC" w:rsidRPr="00567E2C" w:rsidRDefault="00D474EC">
            <w:pPr>
              <w:spacing w:before="40" w:after="40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567E2C">
              <w:rPr>
                <w:rFonts w:asciiTheme="minorHAnsi" w:hAnsiTheme="minorHAnsi"/>
                <w:b/>
                <w:color w:val="FFFFFF"/>
                <w:sz w:val="24"/>
              </w:rPr>
              <w:t>VERHALTEN BEI UNFÄLLEN - ERSTE HILFE</w:t>
            </w:r>
          </w:p>
        </w:tc>
      </w:tr>
      <w:tr w:rsidR="00D474EC" w:rsidRPr="00567E2C" w14:paraId="03004CB3" w14:textId="77777777" w:rsidTr="00D474EC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5138" w:type="dxa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BBD43" w14:textId="681E5E82" w:rsidR="00D474EC" w:rsidRPr="00567E2C" w:rsidRDefault="00D474EC">
            <w:pPr>
              <w:spacing w:before="20" w:after="20"/>
              <w:ind w:left="40"/>
              <w:jc w:val="center"/>
              <w:rPr>
                <w:rFonts w:asciiTheme="minorHAnsi" w:hAnsiTheme="minorHAnsi"/>
                <w:sz w:val="8"/>
              </w:rPr>
            </w:pPr>
            <w:bookmarkStart w:id="0" w:name="Temp"/>
            <w:bookmarkEnd w:id="0"/>
            <w:r w:rsidRPr="00567E2C">
              <w:rPr>
                <w:rFonts w:asciiTheme="minorHAnsi" w:hAnsiTheme="minorHAnsi"/>
                <w:noProof/>
              </w:rPr>
              <w:drawing>
                <wp:inline distT="0" distB="0" distL="0" distR="0" wp14:anchorId="01BCE470" wp14:editId="1D5DEACE">
                  <wp:extent cx="427566" cy="427566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72" cy="42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82D7" w14:textId="77777777" w:rsidR="00D474EC" w:rsidRPr="00567E2C" w:rsidRDefault="00D474EC" w:rsidP="00324F79">
            <w:pPr>
              <w:pStyle w:val="MitBullets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</w:rPr>
            </w:pPr>
            <w:r w:rsidRPr="00567E2C">
              <w:rPr>
                <w:rFonts w:asciiTheme="minorHAnsi" w:hAnsiTheme="minorHAnsi"/>
              </w:rPr>
              <w:t xml:space="preserve">Bei Erkennen einer Undichtigkeit sofort den Bereich verlassen. Anschließend Arzt aufsuchen. </w:t>
            </w:r>
          </w:p>
        </w:tc>
      </w:tr>
      <w:tr w:rsidR="00D474EC" w:rsidRPr="00567E2C" w14:paraId="1B6FFACB" w14:textId="77777777" w:rsidTr="00D474EC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38" w:type="dxa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3D8B134B" w14:textId="77777777" w:rsidR="00D474EC" w:rsidRPr="00567E2C" w:rsidRDefault="00D474EC">
            <w:pPr>
              <w:spacing w:before="40" w:after="40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567E2C">
              <w:rPr>
                <w:rFonts w:asciiTheme="minorHAnsi" w:hAnsiTheme="minorHAnsi"/>
                <w:b/>
                <w:color w:val="FFFFFF"/>
                <w:sz w:val="24"/>
              </w:rPr>
              <w:t>ENTSORGUNG</w:t>
            </w:r>
          </w:p>
        </w:tc>
      </w:tr>
      <w:tr w:rsidR="00D474EC" w:rsidRPr="00567E2C" w14:paraId="1F1B8F42" w14:textId="77777777" w:rsidTr="00D474EC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38" w:type="dxa"/>
          <w:cantSplit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5005C" w14:textId="4D167247" w:rsidR="00D474EC" w:rsidRPr="00567E2C" w:rsidRDefault="004F49DE" w:rsidP="009B4079">
            <w:pPr>
              <w:spacing w:before="40" w:after="4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Gebrauchte </w:t>
            </w:r>
            <w:r w:rsidR="005A65D2">
              <w:rPr>
                <w:rFonts w:asciiTheme="minorHAnsi" w:hAnsiTheme="minorHAnsi"/>
                <w:color w:val="000000"/>
              </w:rPr>
              <w:t xml:space="preserve">Masken </w:t>
            </w:r>
            <w:r>
              <w:rPr>
                <w:rFonts w:asciiTheme="minorHAnsi" w:hAnsiTheme="minorHAnsi"/>
                <w:color w:val="000000"/>
              </w:rPr>
              <w:t xml:space="preserve">zum Restmüll geben. </w:t>
            </w:r>
          </w:p>
        </w:tc>
      </w:tr>
      <w:tr w:rsidR="00D474EC" w:rsidRPr="00567E2C" w14:paraId="449CC2AC" w14:textId="77777777" w:rsidTr="00D474EC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38" w:type="dxa"/>
          <w:cantSplit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7F53958A" w14:textId="77777777" w:rsidR="00D474EC" w:rsidRPr="00567E2C" w:rsidRDefault="00D474EC">
            <w:pPr>
              <w:spacing w:before="40" w:after="40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567E2C">
              <w:rPr>
                <w:rFonts w:asciiTheme="minorHAnsi" w:hAnsiTheme="minorHAnsi"/>
                <w:b/>
                <w:color w:val="FFFFFF"/>
                <w:sz w:val="24"/>
              </w:rPr>
              <w:t>Weitere Informationen</w:t>
            </w:r>
          </w:p>
        </w:tc>
      </w:tr>
      <w:tr w:rsidR="00D474EC" w:rsidRPr="00567E2C" w14:paraId="0CB3EDE1" w14:textId="77777777" w:rsidTr="00D474EC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38" w:type="dxa"/>
          <w:cantSplit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51DC5" w14:textId="5BF9C425" w:rsidR="00D474EC" w:rsidRPr="00567E2C" w:rsidRDefault="00187707" w:rsidP="00187707">
            <w:pPr>
              <w:spacing w:before="40" w:after="4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</w:t>
            </w:r>
            <w:r w:rsidR="00D474EC" w:rsidRPr="00567E2C">
              <w:rPr>
                <w:rFonts w:asciiTheme="minorHAnsi" w:hAnsiTheme="minorHAnsi"/>
                <w:color w:val="000000"/>
              </w:rPr>
              <w:t xml:space="preserve">GUV-R </w:t>
            </w:r>
            <w:r>
              <w:rPr>
                <w:rFonts w:asciiTheme="minorHAnsi" w:hAnsiTheme="minorHAnsi"/>
                <w:color w:val="000000"/>
              </w:rPr>
              <w:t>112-</w:t>
            </w:r>
            <w:r w:rsidR="00D474EC" w:rsidRPr="00567E2C">
              <w:rPr>
                <w:rFonts w:asciiTheme="minorHAnsi" w:hAnsiTheme="minorHAnsi"/>
                <w:color w:val="000000"/>
              </w:rPr>
              <w:t>190 „Benutzung von Atemschutzgeräten“</w:t>
            </w:r>
            <w:r w:rsidR="00210612">
              <w:rPr>
                <w:rFonts w:asciiTheme="minorHAnsi" w:hAnsiTheme="minorHAnsi"/>
                <w:color w:val="000000"/>
              </w:rPr>
              <w:t xml:space="preserve"> (Einteilung in Gruppe 1)</w:t>
            </w:r>
            <w:r w:rsidR="00D474EC" w:rsidRPr="00567E2C">
              <w:rPr>
                <w:rFonts w:asciiTheme="minorHAnsi" w:hAnsiTheme="minorHAnsi"/>
                <w:color w:val="000000"/>
              </w:rPr>
              <w:t xml:space="preserve">; </w:t>
            </w:r>
            <w:r w:rsidRPr="00187707">
              <w:rPr>
                <w:rFonts w:asciiTheme="minorHAnsi" w:hAnsiTheme="minorHAnsi"/>
              </w:rPr>
              <w:t>CE-Kennzeichnung gem. der PSA-Richtlinie 89/686/EWG für komplexe PSA der Kategorie III.</w:t>
            </w:r>
            <w:r>
              <w:rPr>
                <w:rFonts w:asciiTheme="minorHAnsi" w:hAnsiTheme="minorHAnsi"/>
              </w:rPr>
              <w:t xml:space="preserve"> </w:t>
            </w:r>
            <w:r w:rsidRPr="00187707">
              <w:rPr>
                <w:rFonts w:asciiTheme="minorHAnsi" w:hAnsiTheme="minorHAnsi"/>
              </w:rPr>
              <w:t>Durchgeführte Baumusterprüfung basierend auf DIN EN 149:2001+A1:2009</w:t>
            </w:r>
            <w:r>
              <w:rPr>
                <w:rFonts w:asciiTheme="minorHAnsi" w:hAnsiTheme="minorHAnsi"/>
              </w:rPr>
              <w:t>.</w:t>
            </w:r>
            <w:r w:rsidR="00D474EC" w:rsidRPr="00567E2C">
              <w:rPr>
                <w:rFonts w:asciiTheme="minorHAnsi" w:hAnsiTheme="minorHAnsi"/>
              </w:rPr>
              <w:t xml:space="preserve"> </w:t>
            </w:r>
            <w:r w:rsidR="008601E3">
              <w:rPr>
                <w:rFonts w:asciiTheme="minorHAnsi" w:hAnsiTheme="minorHAnsi"/>
              </w:rPr>
              <w:t>Betriebsanweisung anhand der Informationen aus der Bedienungsanleitung ergänzen.</w:t>
            </w:r>
            <w:r w:rsidR="00C935CC">
              <w:rPr>
                <w:rFonts w:asciiTheme="minorHAnsi" w:hAnsiTheme="minorHAnsi"/>
              </w:rPr>
              <w:t xml:space="preserve"> Die Bezeichnung FFP2 </w:t>
            </w:r>
            <w:r w:rsidR="00C935CC" w:rsidRPr="00C935CC">
              <w:rPr>
                <w:rFonts w:asciiTheme="minorHAnsi" w:hAnsiTheme="minorHAnsi"/>
                <w:b/>
                <w:bCs/>
              </w:rPr>
              <w:t>NR</w:t>
            </w:r>
            <w:r w:rsidR="00C935CC">
              <w:rPr>
                <w:rFonts w:asciiTheme="minorHAnsi" w:hAnsiTheme="minorHAnsi"/>
                <w:b/>
                <w:bCs/>
              </w:rPr>
              <w:t xml:space="preserve"> </w:t>
            </w:r>
            <w:r w:rsidR="00C935CC" w:rsidRPr="00C935CC">
              <w:rPr>
                <w:rFonts w:asciiTheme="minorHAnsi" w:hAnsiTheme="minorHAnsi"/>
              </w:rPr>
              <w:t>auf der Maske</w:t>
            </w:r>
            <w:r w:rsidR="00C935CC">
              <w:rPr>
                <w:rFonts w:asciiTheme="minorHAnsi" w:hAnsiTheme="minorHAnsi"/>
                <w:b/>
                <w:bCs/>
              </w:rPr>
              <w:t xml:space="preserve"> </w:t>
            </w:r>
            <w:r w:rsidR="002627B2" w:rsidRPr="002627B2">
              <w:rPr>
                <w:rFonts w:asciiTheme="minorHAnsi" w:hAnsiTheme="minorHAnsi"/>
              </w:rPr>
              <w:t xml:space="preserve">bedeutet </w:t>
            </w:r>
            <w:r w:rsidR="002627B2" w:rsidRPr="00446605">
              <w:rPr>
                <w:rFonts w:asciiTheme="minorHAnsi" w:hAnsiTheme="minorHAnsi"/>
              </w:rPr>
              <w:t>nicht wiederverwendbar</w:t>
            </w:r>
            <w:r w:rsidR="00446605">
              <w:rPr>
                <w:rFonts w:asciiTheme="minorHAnsi" w:hAnsiTheme="minorHAnsi"/>
              </w:rPr>
              <w:t xml:space="preserve"> (not reusable)</w:t>
            </w:r>
            <w:r w:rsidR="002627B2" w:rsidRPr="002627B2">
              <w:rPr>
                <w:rFonts w:asciiTheme="minorHAnsi" w:hAnsiTheme="minorHAnsi"/>
              </w:rPr>
              <w:t xml:space="preserve">. </w:t>
            </w:r>
            <w:r w:rsidR="00EE1816" w:rsidRPr="00EE1816">
              <w:rPr>
                <w:rFonts w:asciiTheme="minorHAnsi" w:hAnsiTheme="minorHAnsi"/>
              </w:rPr>
              <w:t>Es ist eine arbeits</w:t>
            </w:r>
            <w:r w:rsidR="00446605">
              <w:rPr>
                <w:rFonts w:asciiTheme="minorHAnsi" w:hAnsiTheme="minorHAnsi"/>
              </w:rPr>
              <w:t>-</w:t>
            </w:r>
            <w:r w:rsidR="00446605">
              <w:rPr>
                <w:rFonts w:asciiTheme="minorHAnsi" w:hAnsiTheme="minorHAnsi"/>
              </w:rPr>
              <w:br/>
            </w:r>
            <w:r w:rsidR="00EE1816" w:rsidRPr="00EE1816">
              <w:rPr>
                <w:rFonts w:asciiTheme="minorHAnsi" w:hAnsiTheme="minorHAnsi"/>
              </w:rPr>
              <w:t xml:space="preserve">medizinische Angebotsvorsorge anzubieten </w:t>
            </w:r>
            <w:r w:rsidR="00EE1816">
              <w:rPr>
                <w:rFonts w:asciiTheme="minorHAnsi" w:hAnsiTheme="minorHAnsi"/>
              </w:rPr>
              <w:t>(</w:t>
            </w:r>
            <w:r w:rsidR="00EE1816" w:rsidRPr="00EE1816">
              <w:rPr>
                <w:rFonts w:asciiTheme="minorHAnsi" w:hAnsiTheme="minorHAnsi"/>
              </w:rPr>
              <w:t>ArbMedVV</w:t>
            </w:r>
            <w:r w:rsidR="006E1B0C">
              <w:rPr>
                <w:rFonts w:asciiTheme="minorHAnsi" w:hAnsiTheme="minorHAnsi"/>
              </w:rPr>
              <w:t xml:space="preserve"> </w:t>
            </w:r>
            <w:r w:rsidR="00EE1816" w:rsidRPr="00EE1816">
              <w:rPr>
                <w:rFonts w:asciiTheme="minorHAnsi" w:hAnsiTheme="minorHAnsi"/>
              </w:rPr>
              <w:t>Teil 4</w:t>
            </w:r>
            <w:r w:rsidR="00EE1816">
              <w:rPr>
                <w:rFonts w:asciiTheme="minorHAnsi" w:hAnsiTheme="minorHAnsi"/>
              </w:rPr>
              <w:t>).</w:t>
            </w:r>
          </w:p>
        </w:tc>
      </w:tr>
    </w:tbl>
    <w:p w14:paraId="6DB98603" w14:textId="77777777" w:rsidR="00880185" w:rsidRDefault="00880185">
      <w:pPr>
        <w:spacing w:before="0"/>
        <w:rPr>
          <w:sz w:val="20"/>
        </w:rPr>
      </w:pPr>
    </w:p>
    <w:sectPr w:rsidR="008801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851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CF87D" w14:textId="77777777" w:rsidR="009A13D2" w:rsidRDefault="009A13D2" w:rsidP="00C012D1">
      <w:pPr>
        <w:spacing w:before="0"/>
      </w:pPr>
      <w:r>
        <w:separator/>
      </w:r>
    </w:p>
  </w:endnote>
  <w:endnote w:type="continuationSeparator" w:id="0">
    <w:p w14:paraId="76302D3A" w14:textId="77777777" w:rsidR="009A13D2" w:rsidRDefault="009A13D2" w:rsidP="00C012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44F8" w14:textId="77777777" w:rsidR="00F35E91" w:rsidRDefault="00F35E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95444" w14:textId="7C7AA920" w:rsidR="00C012D1" w:rsidRPr="00C012D1" w:rsidRDefault="00C012D1" w:rsidP="00C012D1">
    <w:pPr>
      <w:pStyle w:val="Fuzeile"/>
      <w:jc w:val="center"/>
      <w:rPr>
        <w:color w:val="A6A6A6"/>
        <w:sz w:val="16"/>
      </w:rPr>
    </w:pPr>
    <w:r>
      <w:rPr>
        <w:sz w:val="20"/>
      </w:rPr>
      <w:br/>
    </w:r>
    <w:r w:rsidRPr="00C012D1">
      <w:rPr>
        <w:color w:val="A6A6A6"/>
        <w:sz w:val="16"/>
      </w:rPr>
      <w:t xml:space="preserve">Copyright Universität Mainz, Dienststelle </w:t>
    </w:r>
    <w:r w:rsidR="00F35E91">
      <w:rPr>
        <w:color w:val="A6A6A6"/>
        <w:sz w:val="16"/>
      </w:rPr>
      <w:t>Arbeits-, Brand- und Umweltschutz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5DD9" w14:textId="77777777" w:rsidR="00F35E91" w:rsidRDefault="00F35E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E25E0" w14:textId="77777777" w:rsidR="009A13D2" w:rsidRDefault="009A13D2" w:rsidP="00C012D1">
      <w:pPr>
        <w:spacing w:before="0"/>
      </w:pPr>
      <w:r>
        <w:separator/>
      </w:r>
    </w:p>
  </w:footnote>
  <w:footnote w:type="continuationSeparator" w:id="0">
    <w:p w14:paraId="51C0A9B1" w14:textId="77777777" w:rsidR="009A13D2" w:rsidRDefault="009A13D2" w:rsidP="00C012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3785" w14:textId="77777777" w:rsidR="00F35E91" w:rsidRDefault="00F35E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027A" w14:textId="77777777" w:rsidR="00F35E91" w:rsidRDefault="00F35E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3A77" w14:textId="77777777" w:rsidR="00F35E91" w:rsidRDefault="00F35E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A10F6"/>
    <w:multiLevelType w:val="singleLevel"/>
    <w:tmpl w:val="6B80ACBC"/>
    <w:lvl w:ilvl="0">
      <w:start w:val="1"/>
      <w:numFmt w:val="bullet"/>
      <w:pStyle w:val="Mi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EC734E"/>
    <w:multiLevelType w:val="singleLevel"/>
    <w:tmpl w:val="E00A9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attachedTemplate r:id="rId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79"/>
    <w:rsid w:val="000205F9"/>
    <w:rsid w:val="00031750"/>
    <w:rsid w:val="00047C43"/>
    <w:rsid w:val="000B3225"/>
    <w:rsid w:val="00107B73"/>
    <w:rsid w:val="001304A9"/>
    <w:rsid w:val="001468F6"/>
    <w:rsid w:val="00187707"/>
    <w:rsid w:val="001E01C1"/>
    <w:rsid w:val="00210612"/>
    <w:rsid w:val="00230C52"/>
    <w:rsid w:val="002627B2"/>
    <w:rsid w:val="0028782A"/>
    <w:rsid w:val="002959D4"/>
    <w:rsid w:val="002C3E62"/>
    <w:rsid w:val="00323E33"/>
    <w:rsid w:val="00324F79"/>
    <w:rsid w:val="003537DA"/>
    <w:rsid w:val="003605A8"/>
    <w:rsid w:val="003773EF"/>
    <w:rsid w:val="00385C8E"/>
    <w:rsid w:val="00397073"/>
    <w:rsid w:val="003A3453"/>
    <w:rsid w:val="0042427E"/>
    <w:rsid w:val="00436D98"/>
    <w:rsid w:val="00446605"/>
    <w:rsid w:val="004522BF"/>
    <w:rsid w:val="00460DE1"/>
    <w:rsid w:val="004B37A0"/>
    <w:rsid w:val="004C15F0"/>
    <w:rsid w:val="004E3E11"/>
    <w:rsid w:val="004F0500"/>
    <w:rsid w:val="004F49DE"/>
    <w:rsid w:val="00546C8B"/>
    <w:rsid w:val="00567E2C"/>
    <w:rsid w:val="00581F16"/>
    <w:rsid w:val="005A65D2"/>
    <w:rsid w:val="005B49F9"/>
    <w:rsid w:val="005D3870"/>
    <w:rsid w:val="00631AE2"/>
    <w:rsid w:val="006C309D"/>
    <w:rsid w:val="006D048A"/>
    <w:rsid w:val="006E1B0C"/>
    <w:rsid w:val="006F53E0"/>
    <w:rsid w:val="0072035E"/>
    <w:rsid w:val="00730AAE"/>
    <w:rsid w:val="007620B2"/>
    <w:rsid w:val="00772893"/>
    <w:rsid w:val="007876AD"/>
    <w:rsid w:val="007C5776"/>
    <w:rsid w:val="007D5136"/>
    <w:rsid w:val="007E196D"/>
    <w:rsid w:val="008079A2"/>
    <w:rsid w:val="008601E3"/>
    <w:rsid w:val="00877C54"/>
    <w:rsid w:val="00880185"/>
    <w:rsid w:val="008E603A"/>
    <w:rsid w:val="008E6409"/>
    <w:rsid w:val="00913334"/>
    <w:rsid w:val="009317CF"/>
    <w:rsid w:val="00972FED"/>
    <w:rsid w:val="009A13D2"/>
    <w:rsid w:val="009B4079"/>
    <w:rsid w:val="00A1020B"/>
    <w:rsid w:val="00A14B27"/>
    <w:rsid w:val="00A1660A"/>
    <w:rsid w:val="00A23DBF"/>
    <w:rsid w:val="00A252B2"/>
    <w:rsid w:val="00A25D20"/>
    <w:rsid w:val="00A3301D"/>
    <w:rsid w:val="00A424E9"/>
    <w:rsid w:val="00A775C6"/>
    <w:rsid w:val="00A82090"/>
    <w:rsid w:val="00AD7ED4"/>
    <w:rsid w:val="00AF1A9A"/>
    <w:rsid w:val="00B33CED"/>
    <w:rsid w:val="00B62DC5"/>
    <w:rsid w:val="00B675A6"/>
    <w:rsid w:val="00B67EEA"/>
    <w:rsid w:val="00BB3655"/>
    <w:rsid w:val="00C012D1"/>
    <w:rsid w:val="00C16529"/>
    <w:rsid w:val="00C179F5"/>
    <w:rsid w:val="00C763D7"/>
    <w:rsid w:val="00C935CC"/>
    <w:rsid w:val="00CA0F54"/>
    <w:rsid w:val="00CC0813"/>
    <w:rsid w:val="00CF4F65"/>
    <w:rsid w:val="00D474EC"/>
    <w:rsid w:val="00DA08C0"/>
    <w:rsid w:val="00DB4D9F"/>
    <w:rsid w:val="00DD7CF6"/>
    <w:rsid w:val="00DE42B8"/>
    <w:rsid w:val="00DE4431"/>
    <w:rsid w:val="00DF2B33"/>
    <w:rsid w:val="00DF3B6C"/>
    <w:rsid w:val="00E31A81"/>
    <w:rsid w:val="00E44EAF"/>
    <w:rsid w:val="00EE1816"/>
    <w:rsid w:val="00EF23A0"/>
    <w:rsid w:val="00F35E91"/>
    <w:rsid w:val="00F57CB6"/>
    <w:rsid w:val="00F72D72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D5F5"/>
  <w15:docId w15:val="{5D68D9FA-16B3-4995-92C7-5F6755F3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color w:val="FFFFFF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40"/>
      <w:jc w:val="center"/>
      <w:outlineLvl w:val="2"/>
    </w:pPr>
    <w:rPr>
      <w:b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260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345"/>
      </w:tabs>
      <w:spacing w:before="20" w:after="20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spacing w:after="20"/>
      <w:jc w:val="center"/>
      <w:outlineLvl w:val="6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20-Feld0">
    <w:name w:val="BA20-Feld0"/>
    <w:basedOn w:val="Standard"/>
    <w:pPr>
      <w:spacing w:before="48" w:after="48"/>
      <w:jc w:val="both"/>
    </w:pPr>
    <w:rPr>
      <w:sz w:val="24"/>
    </w:rPr>
  </w:style>
  <w:style w:type="paragraph" w:customStyle="1" w:styleId="MitBullets">
    <w:name w:val="MitBullets"/>
    <w:basedOn w:val="Standard"/>
    <w:pPr>
      <w:numPr>
        <w:numId w:val="1"/>
      </w:numPr>
      <w:tabs>
        <w:tab w:val="left" w:pos="170"/>
      </w:tabs>
    </w:pPr>
  </w:style>
  <w:style w:type="paragraph" w:customStyle="1" w:styleId="TitelNormal">
    <w:name w:val="TitelNormal"/>
    <w:basedOn w:val="Standard"/>
    <w:pPr>
      <w:spacing w:before="40" w:after="40"/>
      <w:jc w:val="center"/>
    </w:pPr>
    <w:rPr>
      <w:b/>
      <w:color w:val="FFFFFF"/>
      <w:sz w:val="24"/>
    </w:rPr>
  </w:style>
  <w:style w:type="paragraph" w:customStyle="1" w:styleId="TitelNotruf">
    <w:name w:val="TitelNotruf"/>
    <w:basedOn w:val="Standard"/>
    <w:pPr>
      <w:shd w:val="clear" w:color="auto" w:fill="FFFFFF"/>
      <w:spacing w:before="40"/>
      <w:jc w:val="center"/>
    </w:pPr>
    <w:rPr>
      <w:b/>
      <w:color w:val="000000"/>
      <w:sz w:val="24"/>
    </w:rPr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C012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2D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012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2D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E2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E2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C3E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etran3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1A4780BF64142BA3D145016B453D6" ma:contentTypeVersion="3" ma:contentTypeDescription="Ein neues Dokument erstellen." ma:contentTypeScope="" ma:versionID="1e599340b8d860c95eb2e1681293149b">
  <xsd:schema xmlns:xsd="http://www.w3.org/2001/XMLSchema" xmlns:xs="http://www.w3.org/2001/XMLSchema" xmlns:p="http://schemas.microsoft.com/office/2006/metadata/properties" xmlns:ns2="4a95f020-debd-4b84-a320-68e33651086d" targetNamespace="http://schemas.microsoft.com/office/2006/metadata/properties" ma:root="true" ma:fieldsID="4d32c19ee38cfa378b184432e9b0e8d1" ns2:_="">
    <xsd:import namespace="4a95f020-debd-4b84-a320-68e33651086d"/>
    <xsd:element name="properties">
      <xsd:complexType>
        <xsd:sequence>
          <xsd:element name="documentManagement">
            <xsd:complexType>
              <xsd:all>
                <xsd:element ref="ns2:CAS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5f020-debd-4b84-a320-68e33651086d" elementFormDefault="qualified">
    <xsd:import namespace="http://schemas.microsoft.com/office/2006/documentManagement/types"/>
    <xsd:import namespace="http://schemas.microsoft.com/office/infopath/2007/PartnerControls"/>
    <xsd:element name="CAS" ma:index="8" nillable="true" ma:displayName="CAS" ma:description="CAS Nummer" ma:internalName="CAS">
      <xsd:simpleType>
        <xsd:restriction base="dms:Text">
          <xsd:maxLength value="16"/>
        </xsd:restriction>
      </xsd:simpleType>
    </xsd:element>
    <xsd:element name="Nr" ma:index="9" nillable="true" ma:displayName="Nr" ma:description="Eindeutige Nummer der Gefahrstoff Betriebsanweisungen" ma:internalName="Nr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 xmlns="4a95f020-debd-4b84-a320-68e33651086d" xsi:nil="true"/>
    <CAS xmlns="4a95f020-debd-4b84-a320-68e33651086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2C3A2-AE9B-4657-ABED-C6B77AE3B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5f020-debd-4b84-a320-68e336510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5D8FF-C049-42A5-8244-F82BA32DBCB2}">
  <ds:schemaRefs>
    <ds:schemaRef ds:uri="http://schemas.microsoft.com/office/2006/metadata/properties"/>
    <ds:schemaRef ds:uri="http://schemas.microsoft.com/office/infopath/2007/PartnerControls"/>
    <ds:schemaRef ds:uri="4a95f020-debd-4b84-a320-68e33651086d"/>
  </ds:schemaRefs>
</ds:datastoreItem>
</file>

<file path=customXml/itemProps3.xml><?xml version="1.0" encoding="utf-8"?>
<ds:datastoreItem xmlns:ds="http://schemas.openxmlformats.org/officeDocument/2006/customXml" ds:itemID="{3B9FBB2D-9776-4551-B30D-095EC6EAFB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B39689-676C-4DA8-A958-A80F63D20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Betran32.Dot</Template>
  <TotalTime>0</TotalTime>
  <Pages>1</Pages>
  <Words>338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Betriebsanweisung: Vollmaske Panorama Nova RA</vt:lpstr>
    </vt:vector>
  </TitlesOfParts>
  <Company>Dienststelle Arbeitsschutz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Betriebsanweisung: Halbmaske FFP-2</dc:title>
  <dc:subject>Betriebsanweisung PSA</dc:subject>
  <dc:creator>wagner</dc:creator>
  <dc:description>Quelle: Gebrauchsanleitung Dräger</dc:description>
  <cp:lastModifiedBy>Wagner, Uwe</cp:lastModifiedBy>
  <cp:revision>23</cp:revision>
  <cp:lastPrinted>2021-01-21T11:23:00Z</cp:lastPrinted>
  <dcterms:created xsi:type="dcterms:W3CDTF">2021-01-21T10:13:00Z</dcterms:created>
  <dcterms:modified xsi:type="dcterms:W3CDTF">2021-01-21T11:23:00Z</dcterms:modified>
  <cp:category>BA PSA Atemschutz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0x01010042F1A4780BF64142BA3D145016B453D6</vt:lpwstr>
  </property>
</Properties>
</file>